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rPr>
          <w:rFonts w:ascii="Calibri" w:hAnsi="Calibri" w:cs="Calibri"/>
          <w:b/>
          <w:sz w:val="56"/>
          <w:lang w:val="fr-FR"/>
        </w:rPr>
        <w:t xml:space="preserve">Note de cadrage — Migration Microsoft 365</w:t>
      </w:r>
    </w:p>
    <w:p>
      <w:r>
        <w:rPr>
          <w:rFonts w:ascii="Calibri" w:hAnsi="Calibri" w:cs="Calibri"/>
          <w:i/>
          <w:sz w:val="28"/>
          <w:color w:val="545B6B"/>
          <w:lang w:val="fr-FR"/>
        </w:rPr>
        <w:t xml:space="preserve">Banque privée régionale · 800 postes · Exercice 2026-2027</w:t>
      </w:r>
    </w:p>
    <w:p>
      <w:r>
        <w:rPr>
          <w:rFonts w:ascii="Calibri" w:hAnsi="Calibri" w:cs="Calibri"/>
          <w:i/>
          <w:sz w:val="18"/>
          <w:color w:val="6B7385"/>
          <w:lang w:val="fr-FR"/>
        </w:rPr>
        <w:t xml:space="preserve">Avril 2026 · v1.0 — Modèle Scope</w:t>
      </w:r>
    </w:p>
    <w:p>
      <w:pPr>
        <w:pStyle w:val="Heading1"/>
      </w:pPr>
      <w:r>
        <w:rPr>
          <w:rFonts w:ascii="Calibri" w:hAnsi="Calibri" w:cs="Calibri"/>
          <w:lang w:val="fr-FR"/>
        </w:rPr>
        <w:t xml:space="preserve">1. Résumé exécutif</w:t>
      </w:r>
    </w:p>
    <w:p>
      <w:r>
        <w:rPr>
          <w:rFonts w:ascii="Calibri" w:hAnsi="Calibri" w:cs="Calibri"/>
          <w:lang w:val="fr-FR"/>
        </w:rPr>
        <w:t xml:space="preserve">La banque privée régionale prévoit la migration de 800 postes utilisateurs depuis une infrastructure Microsoft Office sur site (Exchange 2019, fileservers, Skype Entreprise) vers Microsoft 365 (Exchange Online, SharePoint Online, Teams, OneDrive). Le programme s'étale sur 12 mois, pour un budget cible de 1,2 M EUR HT, avec une exigence de souveraineté des données (région UE) et de conformité réglementaire (secret bancaire, ACPR cloud).</w:t>
      </w:r>
    </w:p>
    <w:p>
      <w:r>
        <w:rPr>
          <w:rFonts w:ascii="Calibri" w:hAnsi="Calibri" w:cs="Calibri"/>
          <w:lang w:val="fr-FR"/>
        </w:rPr>
        <w:t xml:space="preserve">L'indicateur de succès principal est le taux d'adoption de Teams six mois après la bascule (cible 75 %). Trois indicateurs secondaires : taux de tickets support sous 1,5 % du parc utilisateur, disponibilité du service supérieure à 99,8 %, achèvement de la formation pour 95 % du personnel.</w:t>
      </w:r>
    </w:p>
    <w:p>
      <w:pPr>
        <w:pStyle w:val="Heading1"/>
      </w:pPr>
      <w:r>
        <w:rPr>
          <w:rFonts w:ascii="Calibri" w:hAnsi="Calibri" w:cs="Calibri"/>
          <w:lang w:val="fr-FR"/>
        </w:rPr>
        <w:t xml:space="preserve">2. Contexte et enjeux</w:t>
      </w:r>
    </w:p>
    <w:p>
      <w:r>
        <w:rPr>
          <w:rFonts w:ascii="Calibri" w:hAnsi="Calibri" w:cs="Calibri"/>
          <w:lang w:val="fr-FR"/>
        </w:rPr>
        <w:t xml:space="preserve">L'environnement actuel souffre de trois limites devenues structurelles : (1) coût de maintenance Exchange 2019 supérieur de 30 % au marché cloud équivalent, (2) absence de collaboration en mobilité réelle (Teams non déployé, OneDrive absent), (3) obsolescence prévue du fileserver principal en mars 2027.</w:t>
      </w:r>
    </w:p>
    <w:p>
      <w:r>
        <w:rPr>
          <w:rFonts w:ascii="Calibri" w:hAnsi="Calibri" w:cs="Calibri"/>
          <w:lang w:val="fr-FR"/>
        </w:rPr>
        <w:t xml:space="preserve">La direction générale a validé en COMEX du 14 février 2026 le principe de la migration, sous condition de respect strict des contraintes de souveraineté (résidence des données dans l'Union européenne, conformité aux orientations ACPR sur le cloud) et de continuité d'activité (aucune interruption de service supérieure à 4 heures sur les heures ouvrées).</w:t>
      </w:r>
    </w:p>
    <w:p>
      <w:pPr>
        <w:pStyle w:val="Heading1"/>
      </w:pPr>
      <w:r>
        <w:rPr>
          <w:rFonts w:ascii="Calibri" w:hAnsi="Calibri" w:cs="Calibri"/>
          <w:lang w:val="fr-FR"/>
        </w:rPr>
        <w:t xml:space="preserve">3. Objectifs SMART</w:t>
      </w:r>
    </w:p>
    <w:p>
      <w:pPr>
        <w:pStyle w:val="ListParagraph"/>
        <w:numPr>
          <w:ilvl w:val="0"/>
          <w:numId w:val="1"/>
        </w:numPr>
      </w:pPr>
      <w:r>
        <w:rPr>
          <w:rFonts w:ascii="Calibri" w:hAnsi="Calibri" w:cs="Calibri"/>
          <w:lang w:val="fr-FR"/>
        </w:rPr>
        <w:t xml:space="preserve">Migrer 800 boîtes Exchange (environ 18 To) vers Exchange Online avec une indisponibilité maximale de 4 heures par lot.</w:t>
      </w:r>
    </w:p>
    <w:p>
      <w:pPr>
        <w:pStyle w:val="ListParagraph"/>
        <w:numPr>
          <w:ilvl w:val="0"/>
          <w:numId w:val="1"/>
        </w:numPr>
      </w:pPr>
      <w:r>
        <w:rPr>
          <w:rFonts w:ascii="Calibri" w:hAnsi="Calibri" w:cs="Calibri"/>
          <w:lang w:val="fr-FR"/>
        </w:rPr>
        <w:t xml:space="preserve">Déployer Teams en remplacement de Skype Entreprise, avec une cible d'adoption de 75 % à 6 mois.</w:t>
      </w:r>
    </w:p>
    <w:p>
      <w:pPr>
        <w:pStyle w:val="ListParagraph"/>
        <w:numPr>
          <w:ilvl w:val="0"/>
          <w:numId w:val="1"/>
        </w:numPr>
      </w:pPr>
      <w:r>
        <w:rPr>
          <w:rFonts w:ascii="Calibri" w:hAnsi="Calibri" w:cs="Calibri"/>
          <w:lang w:val="fr-FR"/>
        </w:rPr>
        <w:t xml:space="preserve">Migrer 65 To de fichiers métiers vers SharePoint Online et OneDrive selon une matrice de droits revue.</w:t>
      </w:r>
    </w:p>
    <w:p>
      <w:pPr>
        <w:pStyle w:val="ListParagraph"/>
        <w:numPr>
          <w:ilvl w:val="0"/>
          <w:numId w:val="1"/>
        </w:numPr>
      </w:pPr>
      <w:r>
        <w:rPr>
          <w:rFonts w:ascii="Calibri" w:hAnsi="Calibri" w:cs="Calibri"/>
          <w:lang w:val="fr-FR"/>
        </w:rPr>
        <w:t xml:space="preserve">Atteindre 95 % de personnel formé (parcours de 90 minutes) avant la bascule de leur lot.</w:t>
      </w:r>
    </w:p>
    <w:p>
      <w:pPr>
        <w:pStyle w:val="ListParagraph"/>
        <w:numPr>
          <w:ilvl w:val="0"/>
          <w:numId w:val="1"/>
        </w:numPr>
      </w:pPr>
      <w:r>
        <w:rPr>
          <w:rFonts w:ascii="Calibri" w:hAnsi="Calibri" w:cs="Calibri"/>
          <w:lang w:val="fr-FR"/>
        </w:rPr>
        <w:t xml:space="preserve">Maintenir la conformité ACPR cloud et présenter un dossier d'audit complet à la sortie de la phase 4.</w:t>
      </w:r>
    </w:p>
    <w:p>
      <w:pPr>
        <w:pStyle w:val="Heading1"/>
      </w:pPr>
      <w:r>
        <w:rPr>
          <w:rFonts w:ascii="Calibri" w:hAnsi="Calibri" w:cs="Calibri"/>
          <w:lang w:val="fr-FR"/>
        </w:rPr>
        <w:t xml:space="preserve">4. Périmètre</w:t>
      </w:r>
    </w:p>
    <w:p>
      <w:pPr>
        <w:pStyle w:val="Heading2"/>
      </w:pPr>
      <w:r>
        <w:rPr>
          <w:rFonts w:ascii="Calibri" w:hAnsi="Calibri" w:cs="Calibri"/>
          <w:lang w:val="fr-FR"/>
        </w:rPr>
        <w:t xml:space="preserve">Inclus</w:t>
      </w:r>
    </w:p>
    <w:p>
      <w:pPr>
        <w:pStyle w:val="ListParagraph"/>
        <w:numPr>
          <w:ilvl w:val="0"/>
          <w:numId w:val="1"/>
        </w:numPr>
      </w:pPr>
      <w:r>
        <w:rPr>
          <w:rFonts w:ascii="Calibri" w:hAnsi="Calibri" w:cs="Calibri"/>
          <w:lang w:val="fr-FR"/>
        </w:rPr>
        <w:t xml:space="preserve">Migration Exchange Online sur les 800 boîtes utilisateurs et les 42 boîtes partagées.</w:t>
      </w:r>
    </w:p>
    <w:p>
      <w:pPr>
        <w:pStyle w:val="ListParagraph"/>
        <w:numPr>
          <w:ilvl w:val="0"/>
          <w:numId w:val="1"/>
        </w:numPr>
      </w:pPr>
      <w:r>
        <w:rPr>
          <w:rFonts w:ascii="Calibri" w:hAnsi="Calibri" w:cs="Calibri"/>
          <w:lang w:val="fr-FR"/>
        </w:rPr>
        <w:t xml:space="preserve">Bascule Skype Entreprise → Teams avec préservation de l'historique des conversations 1-1 sur 12 mois.</w:t>
      </w:r>
    </w:p>
    <w:p>
      <w:pPr>
        <w:pStyle w:val="ListParagraph"/>
        <w:numPr>
          <w:ilvl w:val="0"/>
          <w:numId w:val="1"/>
        </w:numPr>
      </w:pPr>
      <w:r>
        <w:rPr>
          <w:rFonts w:ascii="Calibri" w:hAnsi="Calibri" w:cs="Calibri"/>
          <w:lang w:val="fr-FR"/>
        </w:rPr>
        <w:t xml:space="preserve">Migration des fichiers métiers actifs (postérieurs au 1er janvier 2018) vers SharePoint Online et OneDrive.</w:t>
      </w:r>
    </w:p>
    <w:p>
      <w:pPr>
        <w:pStyle w:val="ListParagraph"/>
        <w:numPr>
          <w:ilvl w:val="0"/>
          <w:numId w:val="1"/>
        </w:numPr>
      </w:pPr>
      <w:r>
        <w:rPr>
          <w:rFonts w:ascii="Calibri" w:hAnsi="Calibri" w:cs="Calibri"/>
          <w:lang w:val="fr-FR"/>
        </w:rPr>
        <w:t xml:space="preserve">Refonte de la matrice de droits sur SharePoint Online avec validation par les métiers.</w:t>
      </w:r>
    </w:p>
    <w:p>
      <w:pPr>
        <w:pStyle w:val="ListParagraph"/>
        <w:numPr>
          <w:ilvl w:val="0"/>
          <w:numId w:val="1"/>
        </w:numPr>
      </w:pPr>
      <w:r>
        <w:rPr>
          <w:rFonts w:ascii="Calibri" w:hAnsi="Calibri" w:cs="Calibri"/>
          <w:lang w:val="fr-FR"/>
        </w:rPr>
        <w:t xml:space="preserve">Intégration MFA via Conditional Access et audit des comptes à privilèges.</w:t>
      </w:r>
    </w:p>
    <w:p>
      <w:pPr>
        <w:pStyle w:val="ListParagraph"/>
        <w:numPr>
          <w:ilvl w:val="0"/>
          <w:numId w:val="1"/>
        </w:numPr>
      </w:pPr>
      <w:r>
        <w:rPr>
          <w:rFonts w:ascii="Calibri" w:hAnsi="Calibri" w:cs="Calibri"/>
          <w:lang w:val="fr-FR"/>
        </w:rPr>
        <w:t xml:space="preserve">Formation utilisateurs (parcours 90 min e-learning + atelier 1h en présentiel par filière).</w:t>
      </w:r>
    </w:p>
    <w:p>
      <w:pPr>
        <w:pStyle w:val="Heading2"/>
      </w:pPr>
      <w:r>
        <w:rPr>
          <w:rFonts w:ascii="Calibri" w:hAnsi="Calibri" w:cs="Calibri"/>
          <w:lang w:val="fr-FR"/>
        </w:rPr>
        <w:t xml:space="preserve">Exclus</w:t>
      </w:r>
    </w:p>
    <w:p>
      <w:pPr>
        <w:pStyle w:val="ListParagraph"/>
        <w:numPr>
          <w:ilvl w:val="0"/>
          <w:numId w:val="1"/>
        </w:numPr>
      </w:pPr>
      <w:r>
        <w:rPr>
          <w:rFonts w:ascii="Calibri" w:hAnsi="Calibri" w:cs="Calibri"/>
          <w:lang w:val="fr-FR"/>
        </w:rPr>
        <w:t xml:space="preserve">Archivage légal des données antérieures au 1er janvier 2018 — projet distinct piloté par la direction de la conformité.</w:t>
      </w:r>
    </w:p>
    <w:p>
      <w:pPr>
        <w:pStyle w:val="ListParagraph"/>
        <w:numPr>
          <w:ilvl w:val="0"/>
          <w:numId w:val="1"/>
        </w:numPr>
      </w:pPr>
      <w:r>
        <w:rPr>
          <w:rFonts w:ascii="Calibri" w:hAnsi="Calibri" w:cs="Calibri"/>
          <w:lang w:val="fr-FR"/>
        </w:rPr>
        <w:t xml:space="preserve">Conservation d'un SharePoint sur site pour les fonds documentaires confidentiels — non requis après audit.</w:t>
      </w:r>
    </w:p>
    <w:p>
      <w:pPr>
        <w:pStyle w:val="ListParagraph"/>
        <w:numPr>
          <w:ilvl w:val="0"/>
          <w:numId w:val="1"/>
        </w:numPr>
      </w:pPr>
      <w:r>
        <w:rPr>
          <w:rFonts w:ascii="Calibri" w:hAnsi="Calibri" w:cs="Calibri"/>
          <w:lang w:val="fr-FR"/>
        </w:rPr>
        <w:t xml:space="preserve">Bascule simultanée du parc téléphonique Teams Phone — reportée à un programme dédié 2027.</w:t>
      </w:r>
    </w:p>
    <w:p>
      <w:pPr>
        <w:pStyle w:val="ListParagraph"/>
        <w:numPr>
          <w:ilvl w:val="0"/>
          <w:numId w:val="1"/>
        </w:numPr>
      </w:pPr>
      <w:r>
        <w:rPr>
          <w:rFonts w:ascii="Calibri" w:hAnsi="Calibri" w:cs="Calibri"/>
          <w:lang w:val="fr-FR"/>
        </w:rPr>
        <w:t xml:space="preserve">Migration des comptes B2B partenaires (concession sur Exchange Hybrid pendant 6 mois supplémentaires).</w:t>
      </w:r>
    </w:p>
    <w:p>
      <w:pPr>
        <w:pStyle w:val="ListParagraph"/>
        <w:numPr>
          <w:ilvl w:val="0"/>
          <w:numId w:val="1"/>
        </w:numPr>
      </w:pPr>
      <w:r>
        <w:rPr>
          <w:rFonts w:ascii="Calibri" w:hAnsi="Calibri" w:cs="Calibri"/>
          <w:lang w:val="fr-FR"/>
        </w:rPr>
        <w:t xml:space="preserve">Refonte ergonomique de l'intranet — out of scope, traité par la communication interne.</w:t>
      </w:r>
    </w:p>
    <w:p>
      <w:pPr>
        <w:pStyle w:val="Heading2"/>
      </w:pPr>
      <w:r>
        <w:rPr>
          <w:rFonts w:ascii="Calibri" w:hAnsi="Calibri" w:cs="Calibri"/>
          <w:lang w:val="fr-FR"/>
        </w:rPr>
        <w:t xml:space="preserve">Hypothèses</w:t>
      </w:r>
    </w:p>
    <w:p>
      <w:pPr>
        <w:pStyle w:val="ListParagraph"/>
        <w:numPr>
          <w:ilvl w:val="0"/>
          <w:numId w:val="1"/>
        </w:numPr>
      </w:pPr>
      <w:r>
        <w:rPr>
          <w:rFonts w:ascii="Calibri" w:hAnsi="Calibri" w:cs="Calibri"/>
          <w:lang w:val="fr-FR"/>
        </w:rPr>
        <w:t xml:space="preserve">Le réseau WAN sortant supporte un pic de 5 Gb/s pendant les fenêtres de bascule de nuit.</w:t>
      </w:r>
    </w:p>
    <w:p>
      <w:pPr>
        <w:pStyle w:val="ListParagraph"/>
        <w:numPr>
          <w:ilvl w:val="0"/>
          <w:numId w:val="1"/>
        </w:numPr>
      </w:pPr>
      <w:r>
        <w:rPr>
          <w:rFonts w:ascii="Calibri" w:hAnsi="Calibri" w:cs="Calibri"/>
          <w:lang w:val="fr-FR"/>
        </w:rPr>
        <w:t xml:space="preserve">Les utilisateurs disposent d'un poste Windows 11 Entreprise à jour (en cours de déploiement parallèle).</w:t>
      </w:r>
    </w:p>
    <w:p>
      <w:pPr>
        <w:pStyle w:val="ListParagraph"/>
        <w:numPr>
          <w:ilvl w:val="0"/>
          <w:numId w:val="1"/>
        </w:numPr>
      </w:pPr>
      <w:r>
        <w:rPr>
          <w:rFonts w:ascii="Calibri" w:hAnsi="Calibri" w:cs="Calibri"/>
          <w:lang w:val="fr-FR"/>
        </w:rPr>
        <w:t xml:space="preserve">Microsoft maintient la disponibilité de la région France pour Exchange Online sur l'horizon du programme.</w:t>
      </w:r>
    </w:p>
    <w:p>
      <w:pPr>
        <w:pStyle w:val="ListParagraph"/>
        <w:numPr>
          <w:ilvl w:val="0"/>
          <w:numId w:val="1"/>
        </w:numPr>
      </w:pPr>
      <w:r>
        <w:rPr>
          <w:rFonts w:ascii="Calibri" w:hAnsi="Calibri" w:cs="Calibri"/>
          <w:lang w:val="fr-FR"/>
        </w:rPr>
        <w:t xml:space="preserve">L'équipe métiers est disponible 50 % du temps pendant les phases 2 et 3 (validation matrice de droits).</w:t>
      </w:r>
    </w:p>
    <w:p>
      <w:pPr>
        <w:pStyle w:val="ListParagraph"/>
        <w:numPr>
          <w:ilvl w:val="0"/>
          <w:numId w:val="1"/>
        </w:numPr>
      </w:pPr>
      <w:r>
        <w:rPr>
          <w:rFonts w:ascii="Calibri" w:hAnsi="Calibri" w:cs="Calibri"/>
          <w:lang w:val="fr-FR"/>
        </w:rPr>
        <w:t xml:space="preserve">Le RSSI dispose d'un mandat opérationnel pour valider les exemptions de Conditional Access.</w:t>
      </w:r>
    </w:p>
    <w:p>
      <w:pPr>
        <w:pStyle w:val="Heading1"/>
      </w:pPr>
      <w:r>
        <w:rPr>
          <w:rFonts w:ascii="Calibri" w:hAnsi="Calibri" w:cs="Calibri"/>
          <w:lang w:val="fr-FR"/>
        </w:rPr>
        <w:t xml:space="preserve">5. Acteurs et matrice RACI</w:t>
      </w:r>
    </w:p>
    <w:tbl>
      <w:tblPr>
        <w:tblW w:w="5000" w:type="pct"/>
        <w:tblBorders>
          <w:top w:val="single" w:sz="4" w:color="CBD0DB"/>
          <w:left w:val="single" w:sz="4" w:color="CBD0DB"/>
          <w:bottom w:val="single" w:sz="4" w:color="CBD0DB"/>
          <w:right w:val="single" w:sz="4" w:color="CBD0DB"/>
          <w:insideH w:val="single" w:sz="4" w:color="E5E8EF"/>
          <w:insideV w:val="single" w:sz="4" w:color="E5E8EF"/>
        </w:tblBorders>
      </w:tblPr>
      <w:tblGrid>
        <w:gridCol w:w="1800"/>
        <w:gridCol w:w="1800"/>
        <w:gridCol w:w="1800"/>
        <w:gridCol w:w="1800"/>
        <w:gridCol w:w="1800"/>
      </w:tblGrid>
      <w:tr>
        <w:trPr>
          <w:tblHeader/>
        </w:trPr>
        <w:tc>
          <w:tcPr>
            <w:shd w:val="clear" w:color="auto" w:fill="EEF0FB"/>
          </w:tcPr>
          <w:p>
            <w:r>
              <w:rPr>
                <w:b/>
                <w:rFonts w:ascii="Calibri" w:hAnsi="Calibri" w:cs="Calibri"/>
              </w:rPr>
              <w:t xml:space="preserve">Livrable</w:t>
            </w:r>
          </w:p>
        </w:tc>
        <w:tc>
          <w:tcPr>
            <w:shd w:val="clear" w:color="auto" w:fill="EEF0FB"/>
          </w:tcPr>
          <w:p>
            <w:r>
              <w:rPr>
                <w:b/>
                <w:rFonts w:ascii="Calibri" w:hAnsi="Calibri" w:cs="Calibri"/>
              </w:rPr>
              <w:t xml:space="preserve">R</w:t>
            </w:r>
          </w:p>
        </w:tc>
        <w:tc>
          <w:tcPr>
            <w:shd w:val="clear" w:color="auto" w:fill="EEF0FB"/>
          </w:tcPr>
          <w:p>
            <w:r>
              <w:rPr>
                <w:b/>
                <w:rFonts w:ascii="Calibri" w:hAnsi="Calibri" w:cs="Calibri"/>
              </w:rPr>
              <w:t xml:space="preserve">A</w:t>
            </w:r>
          </w:p>
        </w:tc>
        <w:tc>
          <w:tcPr>
            <w:shd w:val="clear" w:color="auto" w:fill="EEF0FB"/>
          </w:tcPr>
          <w:p>
            <w:r>
              <w:rPr>
                <w:b/>
                <w:rFonts w:ascii="Calibri" w:hAnsi="Calibri" w:cs="Calibri"/>
              </w:rPr>
              <w:t xml:space="preserve">C</w:t>
            </w:r>
          </w:p>
        </w:tc>
        <w:tc>
          <w:tcPr>
            <w:shd w:val="clear" w:color="auto" w:fill="EEF0FB"/>
          </w:tcPr>
          <w:p>
            <w:r>
              <w:rPr>
                <w:b/>
                <w:rFonts w:ascii="Calibri" w:hAnsi="Calibri" w:cs="Calibri"/>
              </w:rPr>
              <w:t xml:space="preserve">I</w:t>
            </w:r>
          </w:p>
        </w:tc>
      </w:tr>
      <w:tr>
        <w:tc>
          <w:p>
            <w:r>
              <w:rPr>
                <w:rFonts w:ascii="Calibri" w:hAnsi="Calibri" w:cs="Calibri"/>
              </w:rPr>
              <w:t xml:space="preserve">Architecture cible Microsoft 365</w:t>
            </w:r>
          </w:p>
        </w:tc>
        <w:tc>
          <w:p>
            <w:r>
              <w:rPr>
                <w:rFonts w:ascii="Calibri" w:hAnsi="Calibri" w:cs="Calibri"/>
              </w:rPr>
              <w:t xml:space="preserve">Architecte M365 (intégrateur)</w:t>
            </w:r>
          </w:p>
        </w:tc>
        <w:tc>
          <w:p>
            <w:r>
              <w:rPr>
                <w:rFonts w:ascii="Calibri" w:hAnsi="Calibri" w:cs="Calibri"/>
              </w:rPr>
              <w:t xml:space="preserve">DSI</w:t>
            </w:r>
          </w:p>
        </w:tc>
        <w:tc>
          <w:p>
            <w:r>
              <w:rPr>
                <w:rFonts w:ascii="Calibri" w:hAnsi="Calibri" w:cs="Calibri"/>
              </w:rPr>
              <w:t xml:space="preserve">RSSI · Conformité</w:t>
            </w:r>
          </w:p>
        </w:tc>
        <w:tc>
          <w:p>
            <w:r>
              <w:rPr>
                <w:rFonts w:ascii="Calibri" w:hAnsi="Calibri" w:cs="Calibri"/>
              </w:rPr>
              <w:t xml:space="preserve">COMEX</w:t>
            </w:r>
          </w:p>
        </w:tc>
      </w:tr>
      <w:tr>
        <w:tc>
          <w:p>
            <w:r>
              <w:rPr>
                <w:rFonts w:ascii="Calibri" w:hAnsi="Calibri" w:cs="Calibri"/>
              </w:rPr>
              <w:t xml:space="preserve">Plan de bascule Exchange</w:t>
            </w:r>
          </w:p>
        </w:tc>
        <w:tc>
          <w:p>
            <w:r>
              <w:rPr>
                <w:rFonts w:ascii="Calibri" w:hAnsi="Calibri" w:cs="Calibri"/>
              </w:rPr>
              <w:t xml:space="preserve">Chef de projet (intégrateur)</w:t>
            </w:r>
          </w:p>
        </w:tc>
        <w:tc>
          <w:p>
            <w:r>
              <w:rPr>
                <w:rFonts w:ascii="Calibri" w:hAnsi="Calibri" w:cs="Calibri"/>
              </w:rPr>
              <w:t xml:space="preserve">DSI</w:t>
            </w:r>
          </w:p>
        </w:tc>
        <w:tc>
          <w:p>
            <w:r>
              <w:rPr>
                <w:rFonts w:ascii="Calibri" w:hAnsi="Calibri" w:cs="Calibri"/>
              </w:rPr>
              <w:t xml:space="preserve">Métiers · DPO</w:t>
            </w:r>
          </w:p>
        </w:tc>
        <w:tc>
          <w:p>
            <w:r>
              <w:rPr>
                <w:rFonts w:ascii="Calibri" w:hAnsi="Calibri" w:cs="Calibri"/>
              </w:rPr>
              <w:t xml:space="preserve">Utilisateurs</w:t>
            </w:r>
          </w:p>
        </w:tc>
      </w:tr>
      <w:tr>
        <w:tc>
          <w:p>
            <w:r>
              <w:rPr>
                <w:rFonts w:ascii="Calibri" w:hAnsi="Calibri" w:cs="Calibri"/>
              </w:rPr>
              <w:t xml:space="preserve">Matrice de droits SharePoint</w:t>
            </w:r>
          </w:p>
        </w:tc>
        <w:tc>
          <w:p>
            <w:r>
              <w:rPr>
                <w:rFonts w:ascii="Calibri" w:hAnsi="Calibri" w:cs="Calibri"/>
              </w:rPr>
              <w:t xml:space="preserve">Architecte M365</w:t>
            </w:r>
          </w:p>
        </w:tc>
        <w:tc>
          <w:p>
            <w:r>
              <w:rPr>
                <w:rFonts w:ascii="Calibri" w:hAnsi="Calibri" w:cs="Calibri"/>
              </w:rPr>
              <w:t xml:space="preserve">Métiers</w:t>
            </w:r>
          </w:p>
        </w:tc>
        <w:tc>
          <w:p>
            <w:r>
              <w:rPr>
                <w:rFonts w:ascii="Calibri" w:hAnsi="Calibri" w:cs="Calibri"/>
              </w:rPr>
              <w:t xml:space="preserve">DPO · Conformité</w:t>
            </w:r>
          </w:p>
        </w:tc>
        <w:tc>
          <w:p>
            <w:r>
              <w:rPr>
                <w:rFonts w:ascii="Calibri" w:hAnsi="Calibri" w:cs="Calibri"/>
              </w:rPr>
              <w:t xml:space="preserve">DSI</w:t>
            </w:r>
          </w:p>
        </w:tc>
      </w:tr>
      <w:tr>
        <w:tc>
          <w:p>
            <w:r>
              <w:rPr>
                <w:rFonts w:ascii="Calibri" w:hAnsi="Calibri" w:cs="Calibri"/>
              </w:rPr>
              <w:t xml:space="preserve">Plan de formation</w:t>
            </w:r>
          </w:p>
        </w:tc>
        <w:tc>
          <w:p>
            <w:r>
              <w:rPr>
                <w:rFonts w:ascii="Calibri" w:hAnsi="Calibri" w:cs="Calibri"/>
              </w:rPr>
              <w:t xml:space="preserve">Chef de projet conduite du changement</w:t>
            </w:r>
          </w:p>
        </w:tc>
        <w:tc>
          <w:p>
            <w:r>
              <w:rPr>
                <w:rFonts w:ascii="Calibri" w:hAnsi="Calibri" w:cs="Calibri"/>
              </w:rPr>
              <w:t xml:space="preserve">DRH</w:t>
            </w:r>
          </w:p>
        </w:tc>
        <w:tc>
          <w:p>
            <w:r>
              <w:rPr>
                <w:rFonts w:ascii="Calibri" w:hAnsi="Calibri" w:cs="Calibri"/>
              </w:rPr>
              <w:t xml:space="preserve">Métiers · Communication</w:t>
            </w:r>
          </w:p>
        </w:tc>
        <w:tc>
          <w:p>
            <w:r>
              <w:rPr>
                <w:rFonts w:ascii="Calibri" w:hAnsi="Calibri" w:cs="Calibri"/>
              </w:rPr>
              <w:t xml:space="preserve">DSI</w:t>
            </w:r>
          </w:p>
        </w:tc>
      </w:tr>
      <w:tr>
        <w:tc>
          <w:p>
            <w:r>
              <w:rPr>
                <w:rFonts w:ascii="Calibri" w:hAnsi="Calibri" w:cs="Calibri"/>
              </w:rPr>
              <w:t xml:space="preserve">Politique Conditional Access</w:t>
            </w:r>
          </w:p>
        </w:tc>
        <w:tc>
          <w:p>
            <w:r>
              <w:rPr>
                <w:rFonts w:ascii="Calibri" w:hAnsi="Calibri" w:cs="Calibri"/>
              </w:rPr>
              <w:t xml:space="preserve">Ingénieur sécurité (intégrateur)</w:t>
            </w:r>
          </w:p>
        </w:tc>
        <w:tc>
          <w:p>
            <w:r>
              <w:rPr>
                <w:rFonts w:ascii="Calibri" w:hAnsi="Calibri" w:cs="Calibri"/>
              </w:rPr>
              <w:t xml:space="preserve">RSSI</w:t>
            </w:r>
          </w:p>
        </w:tc>
        <w:tc>
          <w:p>
            <w:r>
              <w:rPr>
                <w:rFonts w:ascii="Calibri" w:hAnsi="Calibri" w:cs="Calibri"/>
              </w:rPr>
              <w:t xml:space="preserve">DSI</w:t>
            </w:r>
          </w:p>
        </w:tc>
        <w:tc>
          <w:p>
            <w:r>
              <w:rPr>
                <w:rFonts w:ascii="Calibri" w:hAnsi="Calibri" w:cs="Calibri"/>
              </w:rPr>
              <w:t xml:space="preserve">Conformité</w:t>
            </w:r>
          </w:p>
        </w:tc>
      </w:tr>
      <w:tr>
        <w:tc>
          <w:p>
            <w:r>
              <w:rPr>
                <w:rFonts w:ascii="Calibri" w:hAnsi="Calibri" w:cs="Calibri"/>
              </w:rPr>
              <w:t xml:space="preserve">Dossier d'audit ACPR cloud</w:t>
            </w:r>
          </w:p>
        </w:tc>
        <w:tc>
          <w:p>
            <w:r>
              <w:rPr>
                <w:rFonts w:ascii="Calibri" w:hAnsi="Calibri" w:cs="Calibri"/>
              </w:rPr>
              <w:t xml:space="preserve">Conformité</w:t>
            </w:r>
          </w:p>
        </w:tc>
        <w:tc>
          <w:p>
            <w:r>
              <w:rPr>
                <w:rFonts w:ascii="Calibri" w:hAnsi="Calibri" w:cs="Calibri"/>
              </w:rPr>
              <w:t xml:space="preserve">RSSI</w:t>
            </w:r>
          </w:p>
        </w:tc>
        <w:tc>
          <w:p>
            <w:r>
              <w:rPr>
                <w:rFonts w:ascii="Calibri" w:hAnsi="Calibri" w:cs="Calibri"/>
              </w:rPr>
              <w:t xml:space="preserve">DSI · DPO</w:t>
            </w:r>
          </w:p>
        </w:tc>
        <w:tc>
          <w:p>
            <w:r>
              <w:rPr>
                <w:rFonts w:ascii="Calibri" w:hAnsi="Calibri" w:cs="Calibri"/>
              </w:rPr>
              <w:t xml:space="preserve">Direction générale</w:t>
            </w:r>
          </w:p>
        </w:tc>
      </w:tr>
    </w:tbl>
    <w:p/>
    <w:p>
      <w:pPr>
        <w:pStyle w:val="Heading1"/>
      </w:pPr>
      <w:r>
        <w:rPr>
          <w:rFonts w:ascii="Calibri" w:hAnsi="Calibri" w:cs="Calibri"/>
          <w:lang w:val="fr-FR"/>
        </w:rPr>
        <w:t xml:space="preserve">6. Livrables et critères d'acceptation</w:t>
      </w:r>
    </w:p>
    <w:p>
      <w:r>
        <w:rPr>
          <w:rFonts w:ascii="Calibri" w:hAnsi="Calibri" w:cs="Calibri"/>
          <w:lang w:val="fr-FR"/>
        </w:rPr>
        <w:t xml:space="preserve">Pour chaque lot, un livrable validé par l'accountable nommé en RACI, sur la base de critères d'acceptation documentés en annexe technique. La validation conditionne le passage à la phase suivante.</w:t>
      </w:r>
    </w:p>
    <w:p>
      <w:pPr>
        <w:pStyle w:val="Heading1"/>
      </w:pPr>
      <w:r>
        <w:rPr>
          <w:rFonts w:ascii="Calibri" w:hAnsi="Calibri" w:cs="Calibri"/>
          <w:lang w:val="fr-FR"/>
        </w:rPr>
        <w:t xml:space="preserve">7. Planning et jalons</w:t>
      </w:r>
    </w:p>
    <w:tbl>
      <w:tblPr>
        <w:tblW w:w="5000" w:type="pct"/>
        <w:tblBorders>
          <w:top w:val="single" w:sz="4" w:color="CBD0DB"/>
          <w:left w:val="single" w:sz="4" w:color="CBD0DB"/>
          <w:bottom w:val="single" w:sz="4" w:color="CBD0DB"/>
          <w:right w:val="single" w:sz="4" w:color="CBD0DB"/>
          <w:insideH w:val="single" w:sz="4" w:color="E5E8EF"/>
          <w:insideV w:val="single" w:sz="4" w:color="E5E8EF"/>
        </w:tblBorders>
      </w:tblPr>
      <w:tblGrid>
        <w:gridCol w:w="3000"/>
        <w:gridCol w:w="3000"/>
        <w:gridCol w:w="3000"/>
      </w:tblGrid>
      <w:tr>
        <w:trPr>
          <w:tblHeader/>
        </w:trPr>
        <w:tc>
          <w:tcPr>
            <w:shd w:val="clear" w:color="auto" w:fill="EEF0FB"/>
          </w:tcPr>
          <w:p>
            <w:r>
              <w:rPr>
                <w:b/>
                <w:rFonts w:ascii="Calibri" w:hAnsi="Calibri" w:cs="Calibri"/>
              </w:rPr>
              <w:t xml:space="preserve">Phase</w:t>
            </w:r>
          </w:p>
        </w:tc>
        <w:tc>
          <w:tcPr>
            <w:shd w:val="clear" w:color="auto" w:fill="EEF0FB"/>
          </w:tcPr>
          <w:p>
            <w:r>
              <w:rPr>
                <w:b/>
                <w:rFonts w:ascii="Calibri" w:hAnsi="Calibri" w:cs="Calibri"/>
              </w:rPr>
              <w:t xml:space="preserve">Période</w:t>
            </w:r>
          </w:p>
        </w:tc>
        <w:tc>
          <w:tcPr>
            <w:shd w:val="clear" w:color="auto" w:fill="EEF0FB"/>
          </w:tcPr>
          <w:p>
            <w:r>
              <w:rPr>
                <w:b/>
                <w:rFonts w:ascii="Calibri" w:hAnsi="Calibri" w:cs="Calibri"/>
              </w:rPr>
              <w:t xml:space="preserve">Livrable de sortie</w:t>
            </w:r>
          </w:p>
        </w:tc>
      </w:tr>
      <w:tr>
        <w:tc>
          <w:p>
            <w:r>
              <w:rPr>
                <w:rFonts w:ascii="Calibri" w:hAnsi="Calibri" w:cs="Calibri"/>
              </w:rPr>
              <w:t xml:space="preserve">Phase 1 — Cadrage</w:t>
            </w:r>
          </w:p>
        </w:tc>
        <w:tc>
          <w:p>
            <w:r>
              <w:rPr>
                <w:rFonts w:ascii="Calibri" w:hAnsi="Calibri" w:cs="Calibri"/>
              </w:rPr>
              <w:t xml:space="preserve">M+0 à M+1.5</w:t>
            </w:r>
          </w:p>
        </w:tc>
        <w:tc>
          <w:p>
            <w:r>
              <w:rPr>
                <w:rFonts w:ascii="Calibri" w:hAnsi="Calibri" w:cs="Calibri"/>
              </w:rPr>
              <w:t xml:space="preserve">Architecture cible + dossier ACPR validé</w:t>
            </w:r>
          </w:p>
        </w:tc>
      </w:tr>
      <w:tr>
        <w:tc>
          <w:p>
            <w:r>
              <w:rPr>
                <w:rFonts w:ascii="Calibri" w:hAnsi="Calibri" w:cs="Calibri"/>
              </w:rPr>
              <w:t xml:space="preserve">Phase 2 — Bascule Exchange</w:t>
            </w:r>
          </w:p>
        </w:tc>
        <w:tc>
          <w:p>
            <w:r>
              <w:rPr>
                <w:rFonts w:ascii="Calibri" w:hAnsi="Calibri" w:cs="Calibri"/>
              </w:rPr>
              <w:t xml:space="preserve">M+2 à M+5</w:t>
            </w:r>
          </w:p>
        </w:tc>
        <w:tc>
          <w:p>
            <w:r>
              <w:rPr>
                <w:rFonts w:ascii="Calibri" w:hAnsi="Calibri" w:cs="Calibri"/>
              </w:rPr>
              <w:t xml:space="preserve">800 boîtes migrées, support stabilisé</w:t>
            </w:r>
          </w:p>
        </w:tc>
      </w:tr>
      <w:tr>
        <w:tc>
          <w:p>
            <w:r>
              <w:rPr>
                <w:rFonts w:ascii="Calibri" w:hAnsi="Calibri" w:cs="Calibri"/>
              </w:rPr>
              <w:t xml:space="preserve">Phase 3 — Teams + collaboration</w:t>
            </w:r>
          </w:p>
        </w:tc>
        <w:tc>
          <w:p>
            <w:r>
              <w:rPr>
                <w:rFonts w:ascii="Calibri" w:hAnsi="Calibri" w:cs="Calibri"/>
              </w:rPr>
              <w:t xml:space="preserve">M+5 à M+8</w:t>
            </w:r>
          </w:p>
        </w:tc>
        <w:tc>
          <w:p>
            <w:r>
              <w:rPr>
                <w:rFonts w:ascii="Calibri" w:hAnsi="Calibri" w:cs="Calibri"/>
              </w:rPr>
              <w:t xml:space="preserve">Bascule Teams effective, taux d'adoption 50 %</w:t>
            </w:r>
          </w:p>
        </w:tc>
      </w:tr>
      <w:tr>
        <w:tc>
          <w:p>
            <w:r>
              <w:rPr>
                <w:rFonts w:ascii="Calibri" w:hAnsi="Calibri" w:cs="Calibri"/>
              </w:rPr>
              <w:t xml:space="preserve">Phase 4 — SharePoint + OneDrive</w:t>
            </w:r>
          </w:p>
        </w:tc>
        <w:tc>
          <w:p>
            <w:r>
              <w:rPr>
                <w:rFonts w:ascii="Calibri" w:hAnsi="Calibri" w:cs="Calibri"/>
              </w:rPr>
              <w:t xml:space="preserve">M+8 à M+11</w:t>
            </w:r>
          </w:p>
        </w:tc>
        <w:tc>
          <w:p>
            <w:r>
              <w:rPr>
                <w:rFonts w:ascii="Calibri" w:hAnsi="Calibri" w:cs="Calibri"/>
              </w:rPr>
              <w:t xml:space="preserve">Migration documentaire achevée, audit RSSI</w:t>
            </w:r>
          </w:p>
        </w:tc>
      </w:tr>
      <w:tr>
        <w:tc>
          <w:p>
            <w:r>
              <w:rPr>
                <w:rFonts w:ascii="Calibri" w:hAnsi="Calibri" w:cs="Calibri"/>
              </w:rPr>
              <w:t xml:space="preserve">Phase 5 — Clôture</w:t>
            </w:r>
          </w:p>
        </w:tc>
        <w:tc>
          <w:p>
            <w:r>
              <w:rPr>
                <w:rFonts w:ascii="Calibri" w:hAnsi="Calibri" w:cs="Calibri"/>
              </w:rPr>
              <w:t xml:space="preserve">M+11 à M+12</w:t>
            </w:r>
          </w:p>
        </w:tc>
        <w:tc>
          <w:p>
            <w:r>
              <w:rPr>
                <w:rFonts w:ascii="Calibri" w:hAnsi="Calibri" w:cs="Calibri"/>
              </w:rPr>
              <w:t xml:space="preserve">Dossier ACPR final, retours d'expérience, transfert RUN</w:t>
            </w:r>
          </w:p>
        </w:tc>
      </w:tr>
    </w:tbl>
    <w:p/>
    <w:p>
      <w:pPr>
        <w:pStyle w:val="Heading1"/>
      </w:pPr>
      <w:r>
        <w:rPr>
          <w:rFonts w:ascii="Calibri" w:hAnsi="Calibri" w:cs="Calibri"/>
          <w:lang w:val="fr-FR"/>
        </w:rPr>
        <w:t xml:space="preserve">8. Risques et plan de mitigation</w:t>
      </w:r>
    </w:p>
    <w:tbl>
      <w:tblPr>
        <w:tblW w:w="5000" w:type="pct"/>
        <w:tblBorders>
          <w:top w:val="single" w:sz="4" w:color="CBD0DB"/>
          <w:left w:val="single" w:sz="4" w:color="CBD0DB"/>
          <w:bottom w:val="single" w:sz="4" w:color="CBD0DB"/>
          <w:right w:val="single" w:sz="4" w:color="CBD0DB"/>
          <w:insideH w:val="single" w:sz="4" w:color="E5E8EF"/>
          <w:insideV w:val="single" w:sz="4" w:color="E5E8EF"/>
        </w:tblBorders>
      </w:tblPr>
      <w:tblGrid>
        <w:gridCol w:w="2250"/>
        <w:gridCol w:w="2250"/>
        <w:gridCol w:w="2250"/>
        <w:gridCol w:w="2250"/>
      </w:tblGrid>
      <w:tr>
        <w:trPr>
          <w:tblHeader/>
        </w:trPr>
        <w:tc>
          <w:tcPr>
            <w:shd w:val="clear" w:color="auto" w:fill="EEF0FB"/>
          </w:tcPr>
          <w:p>
            <w:r>
              <w:rPr>
                <w:b/>
                <w:rFonts w:ascii="Calibri" w:hAnsi="Calibri" w:cs="Calibri"/>
              </w:rPr>
              <w:t xml:space="preserve">Risque</w:t>
            </w:r>
          </w:p>
        </w:tc>
        <w:tc>
          <w:tcPr>
            <w:shd w:val="clear" w:color="auto" w:fill="EEF0FB"/>
          </w:tcPr>
          <w:p>
            <w:r>
              <w:rPr>
                <w:b/>
                <w:rFonts w:ascii="Calibri" w:hAnsi="Calibri" w:cs="Calibri"/>
              </w:rPr>
              <w:t xml:space="preserve">Probabilité</w:t>
            </w:r>
          </w:p>
        </w:tc>
        <w:tc>
          <w:tcPr>
            <w:shd w:val="clear" w:color="auto" w:fill="EEF0FB"/>
          </w:tcPr>
          <w:p>
            <w:r>
              <w:rPr>
                <w:b/>
                <w:rFonts w:ascii="Calibri" w:hAnsi="Calibri" w:cs="Calibri"/>
              </w:rPr>
              <w:t xml:space="preserve">Impact</w:t>
            </w:r>
          </w:p>
        </w:tc>
        <w:tc>
          <w:tcPr>
            <w:shd w:val="clear" w:color="auto" w:fill="EEF0FB"/>
          </w:tcPr>
          <w:p>
            <w:r>
              <w:rPr>
                <w:b/>
                <w:rFonts w:ascii="Calibri" w:hAnsi="Calibri" w:cs="Calibri"/>
              </w:rPr>
              <w:t xml:space="preserve">Mitigation</w:t>
            </w:r>
          </w:p>
        </w:tc>
      </w:tr>
      <w:tr>
        <w:tc>
          <w:p>
            <w:r>
              <w:rPr>
                <w:rFonts w:ascii="Calibri" w:hAnsi="Calibri" w:cs="Calibri"/>
              </w:rPr>
              <w:t xml:space="preserve">Refus ACPR de la résidence cloud</w:t>
            </w:r>
          </w:p>
        </w:tc>
        <w:tc>
          <w:p>
            <w:r>
              <w:rPr>
                <w:rFonts w:ascii="Calibri" w:hAnsi="Calibri" w:cs="Calibri"/>
              </w:rPr>
              <w:t xml:space="preserve">Faible</w:t>
            </w:r>
          </w:p>
        </w:tc>
        <w:tc>
          <w:p>
            <w:r>
              <w:rPr>
                <w:rFonts w:ascii="Calibri" w:hAnsi="Calibri" w:cs="Calibri"/>
              </w:rPr>
              <w:t xml:space="preserve">Majeur</w:t>
            </w:r>
          </w:p>
        </w:tc>
        <w:tc>
          <w:p>
            <w:r>
              <w:rPr>
                <w:rFonts w:ascii="Calibri" w:hAnsi="Calibri" w:cs="Calibri"/>
              </w:rPr>
              <w:t xml:space="preserve">Dossier ACPR préparé en phase 1 ; revue trimestrielle ; plan B région UE Outscale.</w:t>
            </w:r>
          </w:p>
        </w:tc>
      </w:tr>
      <w:tr>
        <w:tc>
          <w:p>
            <w:r>
              <w:rPr>
                <w:rFonts w:ascii="Calibri" w:hAnsi="Calibri" w:cs="Calibri"/>
              </w:rPr>
              <w:t xml:space="preserve">Indisponibilité prolongée d'Exchange Online lors d'une bascule</w:t>
            </w:r>
          </w:p>
        </w:tc>
        <w:tc>
          <w:p>
            <w:r>
              <w:rPr>
                <w:rFonts w:ascii="Calibri" w:hAnsi="Calibri" w:cs="Calibri"/>
              </w:rPr>
              <w:t xml:space="preserve">Faible</w:t>
            </w:r>
          </w:p>
        </w:tc>
        <w:tc>
          <w:p>
            <w:r>
              <w:rPr>
                <w:rFonts w:ascii="Calibri" w:hAnsi="Calibri" w:cs="Calibri"/>
              </w:rPr>
              <w:t xml:space="preserve">Majeur</w:t>
            </w:r>
          </w:p>
        </w:tc>
        <w:tc>
          <w:p>
            <w:r>
              <w:rPr>
                <w:rFonts w:ascii="Calibri" w:hAnsi="Calibri" w:cs="Calibri"/>
              </w:rPr>
              <w:t xml:space="preserve">Bascule par vagues de 160 boîtes ; rollback préparé ; fenêtre de nuit avec support fournisseur P1.</w:t>
            </w:r>
          </w:p>
        </w:tc>
      </w:tr>
      <w:tr>
        <w:tc>
          <w:p>
            <w:r>
              <w:rPr>
                <w:rFonts w:ascii="Calibri" w:hAnsi="Calibri" w:cs="Calibri"/>
              </w:rPr>
              <w:t xml:space="preserve">Faible adoption de Teams par les filières seniors</w:t>
            </w:r>
          </w:p>
        </w:tc>
        <w:tc>
          <w:p>
            <w:r>
              <w:rPr>
                <w:rFonts w:ascii="Calibri" w:hAnsi="Calibri" w:cs="Calibri"/>
              </w:rPr>
              <w:t xml:space="preserve">Forte</w:t>
            </w:r>
          </w:p>
        </w:tc>
        <w:tc>
          <w:p>
            <w:r>
              <w:rPr>
                <w:rFonts w:ascii="Calibri" w:hAnsi="Calibri" w:cs="Calibri"/>
              </w:rPr>
              <w:t xml:space="preserve">Moyen</w:t>
            </w:r>
          </w:p>
        </w:tc>
        <w:tc>
          <w:p>
            <w:r>
              <w:rPr>
                <w:rFonts w:ascii="Calibri" w:hAnsi="Calibri" w:cs="Calibri"/>
              </w:rPr>
              <w:t xml:space="preserve">Parcours de formation différencié ; champions internes ; reporting hebdomadaire d'adoption.</w:t>
            </w:r>
          </w:p>
        </w:tc>
      </w:tr>
      <w:tr>
        <w:tc>
          <w:p>
            <w:r>
              <w:rPr>
                <w:rFonts w:ascii="Calibri" w:hAnsi="Calibri" w:cs="Calibri"/>
              </w:rPr>
              <w:t xml:space="preserve">Saturation du WAN sortant pendant les bascules</w:t>
            </w:r>
          </w:p>
        </w:tc>
        <w:tc>
          <w:p>
            <w:r>
              <w:rPr>
                <w:rFonts w:ascii="Calibri" w:hAnsi="Calibri" w:cs="Calibri"/>
              </w:rPr>
              <w:t xml:space="preserve">Moyenne</w:t>
            </w:r>
          </w:p>
        </w:tc>
        <w:tc>
          <w:p>
            <w:r>
              <w:rPr>
                <w:rFonts w:ascii="Calibri" w:hAnsi="Calibri" w:cs="Calibri"/>
              </w:rPr>
              <w:t xml:space="preserve">Majeur</w:t>
            </w:r>
          </w:p>
        </w:tc>
        <w:tc>
          <w:p>
            <w:r>
              <w:rPr>
                <w:rFonts w:ascii="Calibri" w:hAnsi="Calibri" w:cs="Calibri"/>
              </w:rPr>
              <w:t xml:space="preserve">Fenêtres nocturnes ; QoS dédiée ; pré-tests de charge en phase 1.</w:t>
            </w:r>
          </w:p>
        </w:tc>
      </w:tr>
      <w:tr>
        <w:tc>
          <w:p>
            <w:r>
              <w:rPr>
                <w:rFonts w:ascii="Calibri" w:hAnsi="Calibri" w:cs="Calibri"/>
              </w:rPr>
              <w:t xml:space="preserve">Mauvaise validation de la matrice de droits</w:t>
            </w:r>
          </w:p>
        </w:tc>
        <w:tc>
          <w:p>
            <w:r>
              <w:rPr>
                <w:rFonts w:ascii="Calibri" w:hAnsi="Calibri" w:cs="Calibri"/>
              </w:rPr>
              <w:t xml:space="preserve">Moyenne</w:t>
            </w:r>
          </w:p>
        </w:tc>
        <w:tc>
          <w:p>
            <w:r>
              <w:rPr>
                <w:rFonts w:ascii="Calibri" w:hAnsi="Calibri" w:cs="Calibri"/>
              </w:rPr>
              <w:t xml:space="preserve">Moyen</w:t>
            </w:r>
          </w:p>
        </w:tc>
        <w:tc>
          <w:p>
            <w:r>
              <w:rPr>
                <w:rFonts w:ascii="Calibri" w:hAnsi="Calibri" w:cs="Calibri"/>
              </w:rPr>
              <w:t xml:space="preserve">Atelier dédié par métier ; double validation conformité ; audit post-bascule à 30 et 90 jours.</w:t>
            </w:r>
          </w:p>
        </w:tc>
      </w:tr>
      <w:tr>
        <w:tc>
          <w:p>
            <w:r>
              <w:rPr>
                <w:rFonts w:ascii="Calibri" w:hAnsi="Calibri" w:cs="Calibri"/>
              </w:rPr>
              <w:t xml:space="preserve">Indisponibilité des référents métiers</w:t>
            </w:r>
          </w:p>
        </w:tc>
        <w:tc>
          <w:p>
            <w:r>
              <w:rPr>
                <w:rFonts w:ascii="Calibri" w:hAnsi="Calibri" w:cs="Calibri"/>
              </w:rPr>
              <w:t xml:space="preserve">Moyenne</w:t>
            </w:r>
          </w:p>
        </w:tc>
        <w:tc>
          <w:p>
            <w:r>
              <w:rPr>
                <w:rFonts w:ascii="Calibri" w:hAnsi="Calibri" w:cs="Calibri"/>
              </w:rPr>
              <w:t xml:space="preserve">Moyen</w:t>
            </w:r>
          </w:p>
        </w:tc>
        <w:tc>
          <w:p>
            <w:r>
              <w:rPr>
                <w:rFonts w:ascii="Calibri" w:hAnsi="Calibri" w:cs="Calibri"/>
              </w:rPr>
              <w:t xml:space="preserve">Engagement DRH formel ; suppléants nommés ; plan d'escalade au COPIL mensuel.</w:t>
            </w:r>
          </w:p>
        </w:tc>
      </w:tr>
      <w:tr>
        <w:tc>
          <w:p>
            <w:r>
              <w:rPr>
                <w:rFonts w:ascii="Calibri" w:hAnsi="Calibri" w:cs="Calibri"/>
              </w:rPr>
              <w:t xml:space="preserve">Dérive du périmètre par demande métier en cours de programme</w:t>
            </w:r>
          </w:p>
        </w:tc>
        <w:tc>
          <w:p>
            <w:r>
              <w:rPr>
                <w:rFonts w:ascii="Calibri" w:hAnsi="Calibri" w:cs="Calibri"/>
              </w:rPr>
              <w:t xml:space="preserve">Forte</w:t>
            </w:r>
          </w:p>
        </w:tc>
        <w:tc>
          <w:p>
            <w:r>
              <w:rPr>
                <w:rFonts w:ascii="Calibri" w:hAnsi="Calibri" w:cs="Calibri"/>
              </w:rPr>
              <w:t xml:space="preserve">Moyen</w:t>
            </w:r>
          </w:p>
        </w:tc>
        <w:tc>
          <w:p>
            <w:r>
              <w:rPr>
                <w:rFonts w:ascii="Calibri" w:hAnsi="Calibri" w:cs="Calibri"/>
              </w:rPr>
              <w:t xml:space="preserve">Comité de changement bimensuel ; arbitrage formel sponsor sur tout changement &gt;20 j/h.</w:t>
            </w:r>
          </w:p>
        </w:tc>
      </w:tr>
      <w:tr>
        <w:tc>
          <w:p>
            <w:r>
              <w:rPr>
                <w:rFonts w:ascii="Calibri" w:hAnsi="Calibri" w:cs="Calibri"/>
              </w:rPr>
              <w:t xml:space="preserve">Audit RSSI bloquant sur Conditional Access</w:t>
            </w:r>
          </w:p>
        </w:tc>
        <w:tc>
          <w:p>
            <w:r>
              <w:rPr>
                <w:rFonts w:ascii="Calibri" w:hAnsi="Calibri" w:cs="Calibri"/>
              </w:rPr>
              <w:t xml:space="preserve">Faible</w:t>
            </w:r>
          </w:p>
        </w:tc>
        <w:tc>
          <w:p>
            <w:r>
              <w:rPr>
                <w:rFonts w:ascii="Calibri" w:hAnsi="Calibri" w:cs="Calibri"/>
              </w:rPr>
              <w:t xml:space="preserve">Moyen</w:t>
            </w:r>
          </w:p>
        </w:tc>
        <w:tc>
          <w:p>
            <w:r>
              <w:rPr>
                <w:rFonts w:ascii="Calibri" w:hAnsi="Calibri" w:cs="Calibri"/>
              </w:rPr>
              <w:t xml:space="preserve">Validation RSSI dès la phase 1 ; revue mensuelle ; mandat opérationnel d'exemption documenté.</w:t>
            </w:r>
          </w:p>
        </w:tc>
      </w:tr>
    </w:tbl>
    <w:p/>
    <w:p>
      <w:pPr>
        <w:pStyle w:val="Heading1"/>
      </w:pPr>
      <w:r>
        <w:rPr>
          <w:rFonts w:ascii="Calibri" w:hAnsi="Calibri" w:cs="Calibri"/>
          <w:lang w:val="fr-FR"/>
        </w:rPr>
        <w:t xml:space="preserve">9. Budget et chiffrage j/h</w:t>
      </w:r>
    </w:p>
    <w:tbl>
      <w:tblPr>
        <w:tblW w:w="5000" w:type="pct"/>
        <w:tblBorders>
          <w:top w:val="single" w:sz="4" w:color="CBD0DB"/>
          <w:left w:val="single" w:sz="4" w:color="CBD0DB"/>
          <w:bottom w:val="single" w:sz="4" w:color="CBD0DB"/>
          <w:right w:val="single" w:sz="4" w:color="CBD0DB"/>
          <w:insideH w:val="single" w:sz="4" w:color="E5E8EF"/>
          <w:insideV w:val="single" w:sz="4" w:color="E5E8EF"/>
        </w:tblBorders>
      </w:tblPr>
      <w:tblGrid>
        <w:gridCol w:w="1500"/>
        <w:gridCol w:w="1500"/>
        <w:gridCol w:w="1500"/>
        <w:gridCol w:w="1500"/>
        <w:gridCol w:w="1500"/>
        <w:gridCol w:w="1500"/>
      </w:tblGrid>
      <w:tr>
        <w:trPr>
          <w:tblHeader/>
        </w:trPr>
        <w:tc>
          <w:tcPr>
            <w:shd w:val="clear" w:color="auto" w:fill="EEF0FB"/>
          </w:tcPr>
          <w:p>
            <w:r>
              <w:rPr>
                <w:b/>
                <w:rFonts w:ascii="Calibri" w:hAnsi="Calibri" w:cs="Calibri"/>
              </w:rPr>
              <w:t xml:space="preserve">Lot</w:t>
            </w:r>
          </w:p>
        </w:tc>
        <w:tc>
          <w:tcPr>
            <w:shd w:val="clear" w:color="auto" w:fill="EEF0FB"/>
          </w:tcPr>
          <w:p>
            <w:r>
              <w:rPr>
                <w:b/>
                <w:rFonts w:ascii="Calibri" w:hAnsi="Calibri" w:cs="Calibri"/>
              </w:rPr>
              <w:t xml:space="preserve">Description</w:t>
            </w:r>
          </w:p>
        </w:tc>
        <w:tc>
          <w:tcPr>
            <w:shd w:val="clear" w:color="auto" w:fill="EEF0FB"/>
          </w:tcPr>
          <w:p>
            <w:r>
              <w:rPr>
                <w:b/>
                <w:rFonts w:ascii="Calibri" w:hAnsi="Calibri" w:cs="Calibri"/>
              </w:rPr>
              <w:t xml:space="preserve">Profil</w:t>
            </w:r>
          </w:p>
        </w:tc>
        <w:tc>
          <w:tcPr>
            <w:shd w:val="clear" w:color="auto" w:fill="EEF0FB"/>
          </w:tcPr>
          <w:p>
            <w:r>
              <w:rPr>
                <w:b/>
                <w:rFonts w:ascii="Calibri" w:hAnsi="Calibri" w:cs="Calibri"/>
              </w:rPr>
              <w:t xml:space="preserve">Optimiste</w:t>
            </w:r>
          </w:p>
        </w:tc>
        <w:tc>
          <w:tcPr>
            <w:shd w:val="clear" w:color="auto" w:fill="EEF0FB"/>
          </w:tcPr>
          <w:p>
            <w:r>
              <w:rPr>
                <w:b/>
                <w:rFonts w:ascii="Calibri" w:hAnsi="Calibri" w:cs="Calibri"/>
              </w:rPr>
              <w:t xml:space="preserve">Réaliste</w:t>
            </w:r>
          </w:p>
        </w:tc>
        <w:tc>
          <w:tcPr>
            <w:shd w:val="clear" w:color="auto" w:fill="EEF0FB"/>
          </w:tcPr>
          <w:p>
            <w:r>
              <w:rPr>
                <w:b/>
                <w:rFonts w:ascii="Calibri" w:hAnsi="Calibri" w:cs="Calibri"/>
              </w:rPr>
              <w:t xml:space="preserve">Pessimiste</w:t>
            </w:r>
          </w:p>
        </w:tc>
      </w:tr>
      <w:tr>
        <w:tc>
          <w:p>
            <w:r>
              <w:rPr>
                <w:rFonts w:ascii="Calibri" w:hAnsi="Calibri" w:cs="Calibri"/>
              </w:rPr>
              <w:t xml:space="preserve">L1</w:t>
            </w:r>
          </w:p>
        </w:tc>
        <w:tc>
          <w:p>
            <w:r>
              <w:rPr>
                <w:rFonts w:ascii="Calibri" w:hAnsi="Calibri" w:cs="Calibri"/>
              </w:rPr>
              <w:t xml:space="preserve">Cadrage, gouvernance, architecture cible</w:t>
            </w:r>
          </w:p>
        </w:tc>
        <w:tc>
          <w:p>
            <w:r>
              <w:rPr>
                <w:rFonts w:ascii="Calibri" w:hAnsi="Calibri" w:cs="Calibri"/>
              </w:rPr>
              <w:t xml:space="preserve">Architecte M365 + chef de projet</w:t>
            </w:r>
          </w:p>
        </w:tc>
        <w:tc>
          <w:p>
            <w:r>
              <w:rPr>
                <w:rFonts w:ascii="Calibri" w:hAnsi="Calibri" w:cs="Calibri"/>
              </w:rPr>
              <w:t xml:space="preserve">35</w:t>
            </w:r>
          </w:p>
        </w:tc>
        <w:tc>
          <w:p>
            <w:r>
              <w:rPr>
                <w:rFonts w:ascii="Calibri" w:hAnsi="Calibri" w:cs="Calibri"/>
              </w:rPr>
              <w:t xml:space="preserve">45</w:t>
            </w:r>
          </w:p>
        </w:tc>
        <w:tc>
          <w:p>
            <w:r>
              <w:rPr>
                <w:rFonts w:ascii="Calibri" w:hAnsi="Calibri" w:cs="Calibri"/>
              </w:rPr>
              <w:t xml:space="preserve">60</w:t>
            </w:r>
          </w:p>
        </w:tc>
      </w:tr>
      <w:tr>
        <w:tc>
          <w:p>
            <w:r>
              <w:rPr>
                <w:rFonts w:ascii="Calibri" w:hAnsi="Calibri" w:cs="Calibri"/>
              </w:rPr>
              <w:t xml:space="preserve">L2</w:t>
            </w:r>
          </w:p>
        </w:tc>
        <w:tc>
          <w:p>
            <w:r>
              <w:rPr>
                <w:rFonts w:ascii="Calibri" w:hAnsi="Calibri" w:cs="Calibri"/>
              </w:rPr>
              <w:t xml:space="preserve">Bascule Exchange Online (5 vagues × 160 boîtes)</w:t>
            </w:r>
          </w:p>
        </w:tc>
        <w:tc>
          <w:p>
            <w:r>
              <w:rPr>
                <w:rFonts w:ascii="Calibri" w:hAnsi="Calibri" w:cs="Calibri"/>
              </w:rPr>
              <w:t xml:space="preserve">Ingénieur déploiement + support</w:t>
            </w:r>
          </w:p>
        </w:tc>
        <w:tc>
          <w:p>
            <w:r>
              <w:rPr>
                <w:rFonts w:ascii="Calibri" w:hAnsi="Calibri" w:cs="Calibri"/>
              </w:rPr>
              <w:t xml:space="preserve">90</w:t>
            </w:r>
          </w:p>
        </w:tc>
        <w:tc>
          <w:p>
            <w:r>
              <w:rPr>
                <w:rFonts w:ascii="Calibri" w:hAnsi="Calibri" w:cs="Calibri"/>
              </w:rPr>
              <w:t xml:space="preserve">110</w:t>
            </w:r>
          </w:p>
        </w:tc>
        <w:tc>
          <w:p>
            <w:r>
              <w:rPr>
                <w:rFonts w:ascii="Calibri" w:hAnsi="Calibri" w:cs="Calibri"/>
              </w:rPr>
              <w:t xml:space="preserve">140</w:t>
            </w:r>
          </w:p>
        </w:tc>
      </w:tr>
      <w:tr>
        <w:tc>
          <w:p>
            <w:r>
              <w:rPr>
                <w:rFonts w:ascii="Calibri" w:hAnsi="Calibri" w:cs="Calibri"/>
              </w:rPr>
              <w:t xml:space="preserve">L3</w:t>
            </w:r>
          </w:p>
        </w:tc>
        <w:tc>
          <w:p>
            <w:r>
              <w:rPr>
                <w:rFonts w:ascii="Calibri" w:hAnsi="Calibri" w:cs="Calibri"/>
              </w:rPr>
              <w:t xml:space="preserve">Bascule Teams (rollout par filières)</w:t>
            </w:r>
          </w:p>
        </w:tc>
        <w:tc>
          <w:p>
            <w:r>
              <w:rPr>
                <w:rFonts w:ascii="Calibri" w:hAnsi="Calibri" w:cs="Calibri"/>
              </w:rPr>
              <w:t xml:space="preserve">Ingénieur déploiement + formateur</w:t>
            </w:r>
          </w:p>
        </w:tc>
        <w:tc>
          <w:p>
            <w:r>
              <w:rPr>
                <w:rFonts w:ascii="Calibri" w:hAnsi="Calibri" w:cs="Calibri"/>
              </w:rPr>
              <w:t xml:space="preserve">60</w:t>
            </w:r>
          </w:p>
        </w:tc>
        <w:tc>
          <w:p>
            <w:r>
              <w:rPr>
                <w:rFonts w:ascii="Calibri" w:hAnsi="Calibri" w:cs="Calibri"/>
              </w:rPr>
              <w:t xml:space="preserve">75</w:t>
            </w:r>
          </w:p>
        </w:tc>
        <w:tc>
          <w:p>
            <w:r>
              <w:rPr>
                <w:rFonts w:ascii="Calibri" w:hAnsi="Calibri" w:cs="Calibri"/>
              </w:rPr>
              <w:t xml:space="preserve">95</w:t>
            </w:r>
          </w:p>
        </w:tc>
      </w:tr>
      <w:tr>
        <w:tc>
          <w:p>
            <w:r>
              <w:rPr>
                <w:rFonts w:ascii="Calibri" w:hAnsi="Calibri" w:cs="Calibri"/>
              </w:rPr>
              <w:t xml:space="preserve">L4</w:t>
            </w:r>
          </w:p>
        </w:tc>
        <w:tc>
          <w:p>
            <w:r>
              <w:rPr>
                <w:rFonts w:ascii="Calibri" w:hAnsi="Calibri" w:cs="Calibri"/>
              </w:rPr>
              <w:t xml:space="preserve">Migration SharePoint et OneDrive</w:t>
            </w:r>
          </w:p>
        </w:tc>
        <w:tc>
          <w:p>
            <w:r>
              <w:rPr>
                <w:rFonts w:ascii="Calibri" w:hAnsi="Calibri" w:cs="Calibri"/>
              </w:rPr>
              <w:t xml:space="preserve">Architecte + ingénieur données</w:t>
            </w:r>
          </w:p>
        </w:tc>
        <w:tc>
          <w:p>
            <w:r>
              <w:rPr>
                <w:rFonts w:ascii="Calibri" w:hAnsi="Calibri" w:cs="Calibri"/>
              </w:rPr>
              <w:t xml:space="preserve">80</w:t>
            </w:r>
          </w:p>
        </w:tc>
        <w:tc>
          <w:p>
            <w:r>
              <w:rPr>
                <w:rFonts w:ascii="Calibri" w:hAnsi="Calibri" w:cs="Calibri"/>
              </w:rPr>
              <w:t xml:space="preserve">100</w:t>
            </w:r>
          </w:p>
        </w:tc>
        <w:tc>
          <w:p>
            <w:r>
              <w:rPr>
                <w:rFonts w:ascii="Calibri" w:hAnsi="Calibri" w:cs="Calibri"/>
              </w:rPr>
              <w:t xml:space="preserve">130</w:t>
            </w:r>
          </w:p>
        </w:tc>
      </w:tr>
      <w:tr>
        <w:tc>
          <w:p>
            <w:r>
              <w:rPr>
                <w:rFonts w:ascii="Calibri" w:hAnsi="Calibri" w:cs="Calibri"/>
              </w:rPr>
              <w:t xml:space="preserve">L5</w:t>
            </w:r>
          </w:p>
        </w:tc>
        <w:tc>
          <w:p>
            <w:r>
              <w:rPr>
                <w:rFonts w:ascii="Calibri" w:hAnsi="Calibri" w:cs="Calibri"/>
              </w:rPr>
              <w:t xml:space="preserve">Sécurité, MFA, Conditional Access</w:t>
            </w:r>
          </w:p>
        </w:tc>
        <w:tc>
          <w:p>
            <w:r>
              <w:rPr>
                <w:rFonts w:ascii="Calibri" w:hAnsi="Calibri" w:cs="Calibri"/>
              </w:rPr>
              <w:t xml:space="preserve">Ingénieur sécurité</w:t>
            </w:r>
          </w:p>
        </w:tc>
        <w:tc>
          <w:p>
            <w:r>
              <w:rPr>
                <w:rFonts w:ascii="Calibri" w:hAnsi="Calibri" w:cs="Calibri"/>
              </w:rPr>
              <w:t xml:space="preserve">35</w:t>
            </w:r>
          </w:p>
        </w:tc>
        <w:tc>
          <w:p>
            <w:r>
              <w:rPr>
                <w:rFonts w:ascii="Calibri" w:hAnsi="Calibri" w:cs="Calibri"/>
              </w:rPr>
              <w:t xml:space="preserve">45</w:t>
            </w:r>
          </w:p>
        </w:tc>
        <w:tc>
          <w:p>
            <w:r>
              <w:rPr>
                <w:rFonts w:ascii="Calibri" w:hAnsi="Calibri" w:cs="Calibri"/>
              </w:rPr>
              <w:t xml:space="preserve">60</w:t>
            </w:r>
          </w:p>
        </w:tc>
      </w:tr>
      <w:tr>
        <w:tc>
          <w:p>
            <w:r>
              <w:rPr>
                <w:rFonts w:ascii="Calibri" w:hAnsi="Calibri" w:cs="Calibri"/>
              </w:rPr>
              <w:t xml:space="preserve">L6</w:t>
            </w:r>
          </w:p>
        </w:tc>
        <w:tc>
          <w:p>
            <w:r>
              <w:rPr>
                <w:rFonts w:ascii="Calibri" w:hAnsi="Calibri" w:cs="Calibri"/>
              </w:rPr>
              <w:t xml:space="preserve">Formation utilisateurs (parcours + ateliers)</w:t>
            </w:r>
          </w:p>
        </w:tc>
        <w:tc>
          <w:p>
            <w:r>
              <w:rPr>
                <w:rFonts w:ascii="Calibri" w:hAnsi="Calibri" w:cs="Calibri"/>
              </w:rPr>
              <w:t xml:space="preserve">Formateur + conduite du changement</w:t>
            </w:r>
          </w:p>
        </w:tc>
        <w:tc>
          <w:p>
            <w:r>
              <w:rPr>
                <w:rFonts w:ascii="Calibri" w:hAnsi="Calibri" w:cs="Calibri"/>
              </w:rPr>
              <w:t xml:space="preserve">50</w:t>
            </w:r>
          </w:p>
        </w:tc>
        <w:tc>
          <w:p>
            <w:r>
              <w:rPr>
                <w:rFonts w:ascii="Calibri" w:hAnsi="Calibri" w:cs="Calibri"/>
              </w:rPr>
              <w:t xml:space="preserve">65</w:t>
            </w:r>
          </w:p>
        </w:tc>
        <w:tc>
          <w:p>
            <w:r>
              <w:rPr>
                <w:rFonts w:ascii="Calibri" w:hAnsi="Calibri" w:cs="Calibri"/>
              </w:rPr>
              <w:t xml:space="preserve">80</w:t>
            </w:r>
          </w:p>
        </w:tc>
      </w:tr>
      <w:tr>
        <w:tc>
          <w:p>
            <w:r>
              <w:rPr>
                <w:rFonts w:ascii="Calibri" w:hAnsi="Calibri" w:cs="Calibri"/>
              </w:rPr>
              <w:t xml:space="preserve">L7</w:t>
            </w:r>
          </w:p>
        </w:tc>
        <w:tc>
          <w:p>
            <w:r>
              <w:rPr>
                <w:rFonts w:ascii="Calibri" w:hAnsi="Calibri" w:cs="Calibri"/>
              </w:rPr>
              <w:t xml:space="preserve">Dossier ACPR, recette, clôture</w:t>
            </w:r>
          </w:p>
        </w:tc>
        <w:tc>
          <w:p>
            <w:r>
              <w:rPr>
                <w:rFonts w:ascii="Calibri" w:hAnsi="Calibri" w:cs="Calibri"/>
              </w:rPr>
              <w:t xml:space="preserve">Conformité + chef de projet</w:t>
            </w:r>
          </w:p>
        </w:tc>
        <w:tc>
          <w:p>
            <w:r>
              <w:rPr>
                <w:rFonts w:ascii="Calibri" w:hAnsi="Calibri" w:cs="Calibri"/>
              </w:rPr>
              <w:t xml:space="preserve">30</w:t>
            </w:r>
          </w:p>
        </w:tc>
        <w:tc>
          <w:p>
            <w:r>
              <w:rPr>
                <w:rFonts w:ascii="Calibri" w:hAnsi="Calibri" w:cs="Calibri"/>
              </w:rPr>
              <w:t xml:space="preserve">40</w:t>
            </w:r>
          </w:p>
        </w:tc>
        <w:tc>
          <w:p>
            <w:r>
              <w:rPr>
                <w:rFonts w:ascii="Calibri" w:hAnsi="Calibri" w:cs="Calibri"/>
              </w:rPr>
              <w:t xml:space="preserve">55</w:t>
            </w:r>
          </w:p>
        </w:tc>
      </w:tr>
    </w:tbl>
    <w:p/>
    <w:p>
      <w:r>
        <w:rPr>
          <w:rFonts w:ascii="Calibri" w:hAnsi="Calibri" w:cs="Calibri"/>
          <w:b/>
          <w:lang w:val="fr-FR"/>
        </w:rPr>
        <w:t xml:space="preserve">Total : 380 j/h optimiste · 480 j/h réaliste · 620 j/h pessimiste.</w:t>
      </w:r>
    </w:p>
    <w:p>
      <w:pPr>
        <w:pStyle w:val="Heading1"/>
      </w:pPr>
      <w:r>
        <w:rPr>
          <w:rFonts w:ascii="Calibri" w:hAnsi="Calibri" w:cs="Calibri"/>
          <w:lang w:val="fr-FR"/>
        </w:rPr>
        <w:t xml:space="preserve">10. Équipe et gouvernance</w:t>
      </w:r>
    </w:p>
    <w:p>
      <w:r>
        <w:rPr>
          <w:rFonts w:ascii="Calibri" w:hAnsi="Calibri" w:cs="Calibri"/>
          <w:lang w:val="fr-FR"/>
        </w:rPr>
        <w:t xml:space="preserve">COPIL mensuel sponsor (DSI) + DRH + RSSI + intégrateur. COPROJ hebdomadaire chef de projet + référents métiers. Daily flash 15 min en phase de bascule. Escalade en 4 heures sur incident P1.</w:t>
      </w:r>
    </w:p>
    <w:p>
      <w:pPr>
        <w:pStyle w:val="Heading1"/>
      </w:pPr>
      <w:r>
        <w:rPr>
          <w:rFonts w:ascii="Calibri" w:hAnsi="Calibri" w:cs="Calibri"/>
          <w:lang w:val="fr-FR"/>
        </w:rPr>
        <w:t xml:space="preserve">11. Prochaines étapes</w:t>
      </w:r>
    </w:p>
    <w:p>
      <w:pPr>
        <w:pStyle w:val="ListParagraph"/>
        <w:numPr>
          <w:ilvl w:val="0"/>
          <w:numId w:val="1"/>
        </w:numPr>
      </w:pPr>
      <w:r>
        <w:rPr>
          <w:rFonts w:ascii="Calibri" w:hAnsi="Calibri" w:cs="Calibri"/>
          <w:lang w:val="fr-FR"/>
        </w:rPr>
        <w:t xml:space="preserve">Validation formelle de la note par le sponsor (DSI) et le RSSI sous 10 jours.</w:t>
      </w:r>
    </w:p>
    <w:p>
      <w:pPr>
        <w:pStyle w:val="ListParagraph"/>
        <w:numPr>
          <w:ilvl w:val="0"/>
          <w:numId w:val="1"/>
        </w:numPr>
      </w:pPr>
      <w:r>
        <w:rPr>
          <w:rFonts w:ascii="Calibri" w:hAnsi="Calibri" w:cs="Calibri"/>
          <w:lang w:val="fr-FR"/>
        </w:rPr>
        <w:t xml:space="preserve">Lancement du COPIL mensuel et du COPROJ hebdomadaire (premier COPIL : J+15).</w:t>
      </w:r>
    </w:p>
    <w:p>
      <w:pPr>
        <w:pStyle w:val="ListParagraph"/>
        <w:numPr>
          <w:ilvl w:val="0"/>
          <w:numId w:val="1"/>
        </w:numPr>
      </w:pPr>
      <w:r>
        <w:rPr>
          <w:rFonts w:ascii="Calibri" w:hAnsi="Calibri" w:cs="Calibri"/>
          <w:lang w:val="fr-FR"/>
        </w:rPr>
        <w:t xml:space="preserve">Démarrage de la phase 1 (cadrage, architecture cible, dossier ACPR) sur 6 semaines.</w:t>
      </w:r>
    </w:p>
    <w:p>
      <w:pPr>
        <w:pStyle w:val="ListParagraph"/>
        <w:numPr>
          <w:ilvl w:val="0"/>
          <w:numId w:val="1"/>
        </w:numPr>
      </w:pPr>
      <w:r>
        <w:rPr>
          <w:rFonts w:ascii="Calibri" w:hAnsi="Calibri" w:cs="Calibri"/>
          <w:lang w:val="fr-FR"/>
        </w:rPr>
        <w:t xml:space="preserve">Préparation de la première vague Exchange (lot 1, 160 boîtes pilotes) pour bascule à J+90.</w:t>
      </w:r>
    </w:p>
    <w:p>
      <w:pPr>
        <w:pStyle w:val="Heading1"/>
      </w:pPr>
      <w:r>
        <w:rPr>
          <w:rFonts w:ascii="Calibri" w:hAnsi="Calibri" w:cs="Calibri"/>
          <w:lang w:val="fr-FR"/>
        </w:rPr>
        <w:t xml:space="preserve">12. Validation</w:t>
      </w:r>
    </w:p>
    <w:p>
      <w:r>
        <w:rPr>
          <w:rFonts w:ascii="Calibri" w:hAnsi="Calibri" w:cs="Calibri"/>
          <w:lang w:val="fr-FR"/>
        </w:rPr>
        <w:t xml:space="preserve">Sponsor (DSI) : ____________________  Date : __________  Signature : __________</w:t>
      </w:r>
    </w:p>
    <w:p>
      <w:r>
        <w:rPr>
          <w:rFonts w:ascii="Calibri" w:hAnsi="Calibri" w:cs="Calibri"/>
          <w:lang w:val="fr-FR"/>
        </w:rPr>
        <w:t xml:space="preserve">MOA (Direction métiers) : ____________________  Date : __________  Signature : __________</w:t>
      </w:r>
    </w:p>
    <w:p>
      <w:r>
        <w:rPr>
          <w:rFonts w:ascii="Calibri" w:hAnsi="Calibri" w:cs="Calibri"/>
          <w:lang w:val="fr-FR"/>
        </w:rPr>
        <w:t xml:space="preserve">MOE (Intégrateur) : ____________________  Date : __________  Signature : __________</w:t>
      </w:r>
    </w:p>
    <w:p>
      <w:r>
        <w:rPr>
          <w:rFonts w:ascii="Calibri" w:hAnsi="Calibri" w:cs="Calibri"/>
          <w:i/>
          <w:sz w:val="16"/>
          <w:color w:val="6B7385"/>
          <w:lang w:val="fr-FR"/>
        </w:rPr>
        <w:t xml:space="preserve">Modèle gratuit fourni par Scope (getscope.dev). Adaptable librement sous licence Creative Commons BY 4.0.</w:t>
      </w:r>
    </w:p>
    <w:sectPr>
      <w:pgSz w:w="11906" w:h="16838"/>
      <w:pgMar w:top="1134" w:right="1134" w:bottom="1134" w:left="1134"/>
    </w:sectPr>
  </w:body>
</w:document>
</file>

<file path=word/numbering.xml><?xml version="1.0" encoding="utf-8"?>
<w:numbering xmlns:w="http://schemas.openxmlformats.org/wordprocessingml/2006/main">
  <w:abstractNum w:abstractNumId="0">
    <w:lvl w:ilvl="0">
      <w:start w:val="1"/>
      <w:numFmt w:val="bullet"/>
      <w:lvlText w:val="•"/>
      <w:lvlJc w:val="left"/>
      <w:pPr>
        <w:ind w:left="720" w:hanging="360"/>
      </w:pPr>
    </w:lvl>
  </w:abstractNum>
  <w:num w:numId="1">
    <w:abstractNumId w:val="0"/>
  </w:num>
</w:numbering>
</file>

<file path=word/styles.xml><?xml version="1.0" encoding="utf-8"?>
<w:styles xmlns:w="http://schemas.openxmlformats.org/wordprocessingml/2006/main">
  <w:docDefaults>
    <w:rPrDefault>
      <w:rPr>
        <w:rFonts w:ascii="Calibri" w:hAnsi="Calibri"/>
        <w:sz w:val="22"/>
      </w:rPr>
    </w:rPrDefault>
    <w:pPrDefault>
      <w:pPr>
        <w:spacing w:after="160" w:line="276" w:lineRule="auto"/>
      </w:pPr>
    </w:pPrDefault>
  </w:docDefaults>
  <w:style w:type="paragraph" w:styleId="Normal" w:default="1">
    <w:name w:val="Normal"/>
    <w:qFormat/>
  </w:style>
  <w:style w:type="paragraph" w:styleId="Title">
    <w:name w:val="Title"/>
    <w:basedOn w:val="Normal"/>
    <w:qFormat/>
    <w:pPr>
      <w:spacing w:before="600" w:after="240"/>
    </w:pPr>
    <w:rPr>
      <w:b/>
      <w:sz w:val="56"/>
      <w:color w:val="15171F"/>
    </w:rPr>
  </w:style>
  <w:style w:type="paragraph" w:styleId="Heading1">
    <w:name w:val="heading 1"/>
    <w:basedOn w:val="Normal"/>
    <w:qFormat/>
    <w:pPr>
      <w:spacing w:before="480" w:after="240"/>
    </w:pPr>
    <w:rPr>
      <w:b/>
      <w:sz w:val="36"/>
      <w:color w:val="3D3FBE"/>
    </w:rPr>
  </w:style>
  <w:style w:type="paragraph" w:styleId="Heading2">
    <w:name w:val="heading 2"/>
    <w:basedOn w:val="Normal"/>
    <w:qFormat/>
    <w:pPr>
      <w:spacing w:before="360" w:after="180"/>
    </w:pPr>
    <w:rPr>
      <w:b/>
      <w:sz w:val="28"/>
    </w:rPr>
  </w:style>
  <w:style w:type="paragraph" w:styleId="ListParagraph">
    <w:name w:val="List Paragraph"/>
    <w:basedOn w:val="Normal"/>
    <w:qFormat/>
    <w:pPr>
      <w:ind w:left="720"/>
    </w:p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s>
</file>